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Pr>
        <w:drawing>
          <wp:inline distB="114300" distT="114300" distL="114300" distR="114300">
            <wp:extent cx="5638800" cy="825402"/>
            <wp:effectExtent b="0" l="0" r="0" t="0"/>
            <wp:docPr id="3" name="image1.png"/>
            <a:graphic>
              <a:graphicData uri="http://schemas.openxmlformats.org/drawingml/2006/picture">
                <pic:pic>
                  <pic:nvPicPr>
                    <pic:cNvPr id="0" name="image1.png"/>
                    <pic:cNvPicPr preferRelativeResize="0"/>
                  </pic:nvPicPr>
                  <pic:blipFill>
                    <a:blip r:embed="rId7"/>
                    <a:srcRect b="22297" l="0" r="0" t="24820"/>
                    <a:stretch>
                      <a:fillRect/>
                    </a:stretch>
                  </pic:blipFill>
                  <pic:spPr>
                    <a:xfrm>
                      <a:off x="0" y="0"/>
                      <a:ext cx="5638800" cy="8254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Post-Helene Tourism Recovery</w:t>
      </w:r>
    </w:p>
    <w:p w:rsidR="00000000" w:rsidDel="00000000" w:rsidP="00000000" w:rsidRDefault="00000000" w:rsidRPr="00000000" w14:paraId="00000004">
      <w:pPr>
        <w:spacing w:line="276" w:lineRule="auto"/>
        <w:jc w:val="center"/>
        <w:rPr>
          <w:b w:val="1"/>
          <w:u w:val="single"/>
        </w:rPr>
      </w:pPr>
      <w:r w:rsidDel="00000000" w:rsidR="00000000" w:rsidRPr="00000000">
        <w:rPr>
          <w:rFonts w:ascii="Arial" w:cs="Arial" w:eastAsia="Arial" w:hAnsi="Arial"/>
          <w:b w:val="1"/>
          <w:i w:val="1"/>
          <w:sz w:val="30"/>
          <w:szCs w:val="30"/>
          <w:rtl w:val="0"/>
        </w:rPr>
        <w:t xml:space="preserve">Financial Resources</w:t>
      </w: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Through thorough research and inquiry, we have compiled a list of</w:t>
      </w:r>
      <w:r w:rsidDel="00000000" w:rsidR="00000000" w:rsidRPr="00000000">
        <w:rPr>
          <w:rFonts w:ascii="Arial" w:cs="Arial" w:eastAsia="Arial" w:hAnsi="Arial"/>
          <w:highlight w:val="white"/>
          <w:rtl w:val="0"/>
        </w:rPr>
        <w:t xml:space="preserve"> potential funding resources for businesses affected by Hurricane Helene. The list below doesn't contain every source (things change daily), but it might help you get started. Not every resource is for every business, so spend a few minutes reading to learn about each opportunity.</w:t>
      </w:r>
    </w:p>
    <w:p w:rsidR="00000000" w:rsidDel="00000000" w:rsidP="00000000" w:rsidRDefault="00000000" w:rsidRPr="00000000" w14:paraId="00000007">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The Economic Development Partnership of NC has a comprehensive list: </w:t>
      </w:r>
      <w:hyperlink r:id="rId8">
        <w:r w:rsidDel="00000000" w:rsidR="00000000" w:rsidRPr="00000000">
          <w:rPr>
            <w:rFonts w:ascii="Arial" w:cs="Arial" w:eastAsia="Arial" w:hAnsi="Arial"/>
            <w:color w:val="1155cc"/>
            <w:highlight w:val="white"/>
            <w:u w:val="single"/>
            <w:rtl w:val="0"/>
          </w:rPr>
          <w:t xml:space="preserve">https://edpnc.com/resources/publications/disaster-recovery-resources/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9">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A">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Community Foundation of WNC: </w:t>
      </w:r>
      <w:hyperlink r:id="rId9">
        <w:r w:rsidDel="00000000" w:rsidR="00000000" w:rsidRPr="00000000">
          <w:rPr>
            <w:rFonts w:ascii="Arial" w:cs="Arial" w:eastAsia="Arial" w:hAnsi="Arial"/>
            <w:color w:val="1155cc"/>
            <w:highlight w:val="white"/>
            <w:u w:val="single"/>
            <w:rtl w:val="0"/>
          </w:rPr>
          <w:t xml:space="preserve">https://cfwnc.org/grants/emergency-and-disaster-response-fund</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B">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C">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Mountain Biz Works: </w:t>
      </w:r>
      <w:hyperlink r:id="rId10">
        <w:r w:rsidDel="00000000" w:rsidR="00000000" w:rsidRPr="00000000">
          <w:rPr>
            <w:rFonts w:ascii="Arial" w:cs="Arial" w:eastAsia="Arial" w:hAnsi="Arial"/>
            <w:color w:val="1155cc"/>
            <w:highlight w:val="white"/>
            <w:u w:val="single"/>
            <w:rtl w:val="0"/>
          </w:rPr>
          <w:t xml:space="preserve">https://www.mountainbizworks.org/helene/</w:t>
        </w:r>
      </w:hyperlink>
      <w:r w:rsidDel="00000000" w:rsidR="00000000" w:rsidRPr="00000000">
        <w:rPr>
          <w:rtl w:val="0"/>
        </w:rPr>
      </w:r>
    </w:p>
    <w:p w:rsidR="00000000" w:rsidDel="00000000" w:rsidP="00000000" w:rsidRDefault="00000000" w:rsidRPr="00000000" w14:paraId="0000000D">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E">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FEMA:</w:t>
      </w:r>
      <w:r w:rsidDel="00000000" w:rsidR="00000000" w:rsidRPr="00000000">
        <w:rPr>
          <w:rFonts w:ascii="Arial" w:cs="Arial" w:eastAsia="Arial" w:hAnsi="Arial"/>
          <w:color w:val="1155cc"/>
          <w:highlight w:val="white"/>
          <w:u w:val="single"/>
          <w:rtl w:val="0"/>
        </w:rPr>
        <w:t xml:space="preserve"> </w:t>
      </w:r>
      <w:hyperlink r:id="rId11">
        <w:r w:rsidDel="00000000" w:rsidR="00000000" w:rsidRPr="00000000">
          <w:rPr>
            <w:rFonts w:ascii="Arial" w:cs="Arial" w:eastAsia="Arial" w:hAnsi="Arial"/>
            <w:color w:val="1155cc"/>
            <w:highlight w:val="white"/>
            <w:u w:val="single"/>
            <w:rtl w:val="0"/>
          </w:rPr>
          <w:t xml:space="preserve">https://www.fema.gov/disaster/4827</w:t>
        </w:r>
      </w:hyperlink>
      <w:r w:rsidDel="00000000" w:rsidR="00000000" w:rsidRPr="00000000">
        <w:rPr>
          <w:rtl w:val="0"/>
        </w:rPr>
      </w:r>
    </w:p>
    <w:p w:rsidR="00000000" w:rsidDel="00000000" w:rsidP="00000000" w:rsidRDefault="00000000" w:rsidRPr="00000000" w14:paraId="0000000F">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0">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SBA: </w:t>
      </w:r>
      <w:hyperlink r:id="rId12">
        <w:r w:rsidDel="00000000" w:rsidR="00000000" w:rsidRPr="00000000">
          <w:rPr>
            <w:rFonts w:ascii="Arial" w:cs="Arial" w:eastAsia="Arial" w:hAnsi="Arial"/>
            <w:color w:val="1155cc"/>
            <w:highlight w:val="white"/>
            <w:u w:val="single"/>
            <w:rtl w:val="0"/>
          </w:rPr>
          <w:t xml:space="preserve">https://lending.sba.gov/search-disaster/?disaster=NC-20007</w:t>
        </w:r>
      </w:hyperlink>
      <w:r w:rsidDel="00000000" w:rsidR="00000000" w:rsidRPr="00000000">
        <w:rPr>
          <w:rtl w:val="0"/>
        </w:rPr>
      </w:r>
    </w:p>
    <w:p w:rsidR="00000000" w:rsidDel="00000000" w:rsidP="00000000" w:rsidRDefault="00000000" w:rsidRPr="00000000" w14:paraId="00000011">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2">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IRS: </w:t>
      </w:r>
      <w:hyperlink r:id="rId13">
        <w:r w:rsidDel="00000000" w:rsidR="00000000" w:rsidRPr="00000000">
          <w:rPr>
            <w:rFonts w:ascii="Arial" w:cs="Arial" w:eastAsia="Arial" w:hAnsi="Arial"/>
            <w:color w:val="1155cc"/>
            <w:highlight w:val="white"/>
            <w:u w:val="single"/>
            <w:rtl w:val="0"/>
          </w:rPr>
          <w:t xml:space="preserve">https://www.irs.gov/newsroom/irs-provides-relief-for-helene-various-deadlines-postponed-to-may-1-2025-part-or-all-of-7-states-qualify</w:t>
        </w:r>
      </w:hyperlink>
      <w:r w:rsidDel="00000000" w:rsidR="00000000" w:rsidRPr="00000000">
        <w:rPr>
          <w:rtl w:val="0"/>
        </w:rPr>
      </w:r>
    </w:p>
    <w:p w:rsidR="00000000" w:rsidDel="00000000" w:rsidP="00000000" w:rsidRDefault="00000000" w:rsidRPr="00000000" w14:paraId="00000013">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4">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Restaurants &amp; Hotels and their employees:</w:t>
      </w:r>
      <w:r w:rsidDel="00000000" w:rsidR="00000000" w:rsidRPr="00000000">
        <w:rPr>
          <w:rFonts w:ascii="Arial" w:cs="Arial" w:eastAsia="Arial" w:hAnsi="Arial"/>
          <w:color w:val="1155cc"/>
          <w:highlight w:val="white"/>
          <w:u w:val="single"/>
          <w:rtl w:val="0"/>
        </w:rPr>
        <w:t xml:space="preserve"> </w:t>
      </w:r>
      <w:hyperlink r:id="rId14">
        <w:r w:rsidDel="00000000" w:rsidR="00000000" w:rsidRPr="00000000">
          <w:rPr>
            <w:rFonts w:ascii="Arial" w:cs="Arial" w:eastAsia="Arial" w:hAnsi="Arial"/>
            <w:color w:val="1155cc"/>
            <w:highlight w:val="white"/>
            <w:u w:val="single"/>
            <w:rtl w:val="0"/>
          </w:rPr>
          <w:t xml:space="preserve">https://recovery.ncrla.org/</w:t>
        </w:r>
      </w:hyperlink>
      <w:r w:rsidDel="00000000" w:rsidR="00000000" w:rsidRPr="00000000">
        <w:rPr>
          <w:rFonts w:ascii="Arial" w:cs="Arial" w:eastAsia="Arial" w:hAnsi="Arial"/>
          <w:highlight w:val="white"/>
          <w:rtl w:val="0"/>
        </w:rPr>
        <w:t xml:space="preserve"> and also </w:t>
      </w:r>
      <w:hyperlink r:id="rId15">
        <w:r w:rsidDel="00000000" w:rsidR="00000000" w:rsidRPr="00000000">
          <w:rPr>
            <w:rFonts w:ascii="Arial" w:cs="Arial" w:eastAsia="Arial" w:hAnsi="Arial"/>
            <w:color w:val="1155cc"/>
            <w:highlight w:val="white"/>
            <w:u w:val="single"/>
            <w:rtl w:val="0"/>
          </w:rPr>
          <w:t xml:space="preserve">https://southernsmoke.org/</w:t>
        </w:r>
      </w:hyperlink>
      <w:r w:rsidDel="00000000" w:rsidR="00000000" w:rsidRPr="00000000">
        <w:rPr>
          <w:rtl w:val="0"/>
        </w:rPr>
      </w:r>
    </w:p>
    <w:p w:rsidR="00000000" w:rsidDel="00000000" w:rsidP="00000000" w:rsidRDefault="00000000" w:rsidRPr="00000000" w14:paraId="00000015">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16">
      <w:pPr>
        <w:shd w:fill="ffffff" w:val="clear"/>
        <w:rPr>
          <w:rFonts w:ascii="Arial" w:cs="Arial" w:eastAsia="Arial" w:hAnsi="Arial"/>
          <w:highlight w:val="white"/>
        </w:rPr>
      </w:pPr>
      <w:r w:rsidDel="00000000" w:rsidR="00000000" w:rsidRPr="00000000">
        <w:rPr>
          <w:rFonts w:ascii="Arial" w:cs="Arial" w:eastAsia="Arial" w:hAnsi="Arial"/>
          <w:highlight w:val="white"/>
          <w:rtl w:val="0"/>
        </w:rPr>
        <w:t xml:space="preserve">Artists and Crafters: </w:t>
      </w:r>
      <w:hyperlink r:id="rId16">
        <w:r w:rsidDel="00000000" w:rsidR="00000000" w:rsidRPr="00000000">
          <w:rPr>
            <w:rFonts w:ascii="Arial" w:cs="Arial" w:eastAsia="Arial" w:hAnsi="Arial"/>
            <w:color w:val="1155cc"/>
            <w:highlight w:val="white"/>
            <w:u w:val="single"/>
            <w:rtl w:val="0"/>
          </w:rPr>
          <w:t xml:space="preserve">https://cerfplus.org/</w:t>
        </w:r>
      </w:hyperlink>
      <w:r w:rsidDel="00000000" w:rsidR="00000000" w:rsidRPr="00000000">
        <w:rPr>
          <w:rtl w:val="0"/>
        </w:rPr>
      </w:r>
    </w:p>
    <w:p w:rsidR="00000000" w:rsidDel="00000000" w:rsidP="00000000" w:rsidRDefault="00000000" w:rsidRPr="00000000" w14:paraId="00000017">
      <w:pPr>
        <w:shd w:fill="ffffff" w:val="clear"/>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hd w:fill="ffffff" w:val="clear"/>
        <w:rPr>
          <w:rFonts w:ascii="Arial" w:cs="Arial" w:eastAsia="Arial" w:hAnsi="Arial"/>
        </w:rPr>
      </w:pPr>
      <w:r w:rsidDel="00000000" w:rsidR="00000000" w:rsidRPr="00000000">
        <w:rPr>
          <w:rFonts w:ascii="Arial" w:cs="Arial" w:eastAsia="Arial" w:hAnsi="Arial"/>
          <w:highlight w:val="white"/>
          <w:rtl w:val="0"/>
        </w:rPr>
        <w:t xml:space="preserve">The NC Arts Council has many specific resources and grants for artists: </w:t>
      </w:r>
      <w:hyperlink r:id="rId17">
        <w:r w:rsidDel="00000000" w:rsidR="00000000" w:rsidRPr="00000000">
          <w:rPr>
            <w:rFonts w:ascii="Arial" w:cs="Arial" w:eastAsia="Arial" w:hAnsi="Arial"/>
            <w:highlight w:val="white"/>
            <w:rtl w:val="0"/>
          </w:rPr>
          <w:t xml:space="preserve">NC Arts Disaster Relief Resources – Arts North Carolina (</w:t>
        </w:r>
      </w:hyperlink>
      <w:hyperlink r:id="rId18">
        <w:r w:rsidDel="00000000" w:rsidR="00000000" w:rsidRPr="00000000">
          <w:rPr>
            <w:rFonts w:ascii="Arial" w:cs="Arial" w:eastAsia="Arial" w:hAnsi="Arial"/>
            <w:color w:val="1155cc"/>
            <w:highlight w:val="white"/>
            <w:u w:val="single"/>
            <w:rtl w:val="0"/>
          </w:rPr>
          <w:t xml:space="preserve">artsnc.org</w:t>
        </w:r>
      </w:hyperlink>
      <w:hyperlink r:id="rId19">
        <w:r w:rsidDel="00000000" w:rsidR="00000000" w:rsidRPr="00000000">
          <w:rPr>
            <w:rFonts w:ascii="Arial" w:cs="Arial" w:eastAsia="Arial" w:hAnsi="Arial"/>
            <w:highlight w:val="white"/>
            <w:rtl w:val="0"/>
          </w:rPr>
          <w:t xml:space="preserve">)</w:t>
        </w:r>
      </w:hyperlink>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3714750" cy="1027828"/>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714750" cy="1027828"/>
                    </a:xfrm>
                    <a:prstGeom prst="rect"/>
                    <a:ln/>
                  </pic:spPr>
                </pic:pic>
              </a:graphicData>
            </a:graphic>
          </wp:inline>
        </w:drawing>
      </w: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7F52"/>
    <w:rPr>
      <w:color w:val="0563c1" w:themeColor="hyperlink"/>
      <w:u w:val="single"/>
    </w:rPr>
  </w:style>
  <w:style w:type="paragraph" w:styleId="ListParagraph">
    <w:name w:val="List Paragraph"/>
    <w:basedOn w:val="Normal"/>
    <w:uiPriority w:val="34"/>
    <w:qFormat w:val="1"/>
    <w:rsid w:val="00D911E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fema.gov/disaster/4827" TargetMode="External"/><Relationship Id="rId10" Type="http://schemas.openxmlformats.org/officeDocument/2006/relationships/hyperlink" Target="https://www.mountainbizworks.org/helene/" TargetMode="External"/><Relationship Id="rId21" Type="http://schemas.openxmlformats.org/officeDocument/2006/relationships/footer" Target="footer1.xml"/><Relationship Id="rId13" Type="http://schemas.openxmlformats.org/officeDocument/2006/relationships/hyperlink" Target="https://www.irs.gov/newsroom/irs-provides-relief-for-helene-various-deadlines-postponed-to-may-1-2025-part-or-all-of-7-states-qualify" TargetMode="External"/><Relationship Id="rId12" Type="http://schemas.openxmlformats.org/officeDocument/2006/relationships/hyperlink" Target="https://lending.sba.gov/search-disaster/?disaster=NC-200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fwnc.org/grants/emergency-and-disaster-response-fund" TargetMode="External"/><Relationship Id="rId15" Type="http://schemas.openxmlformats.org/officeDocument/2006/relationships/hyperlink" Target="https://southernsmoke.org/" TargetMode="External"/><Relationship Id="rId14" Type="http://schemas.openxmlformats.org/officeDocument/2006/relationships/hyperlink" Target="https://recovery.ncrla.org/" TargetMode="External"/><Relationship Id="rId17" Type="http://schemas.openxmlformats.org/officeDocument/2006/relationships/hyperlink" Target="https://artsnc.org/arts-emergency-resources/#resources" TargetMode="External"/><Relationship Id="rId16" Type="http://schemas.openxmlformats.org/officeDocument/2006/relationships/hyperlink" Target="https://cerfplus.org/" TargetMode="External"/><Relationship Id="rId5" Type="http://schemas.openxmlformats.org/officeDocument/2006/relationships/styles" Target="styles.xml"/><Relationship Id="rId19" Type="http://schemas.openxmlformats.org/officeDocument/2006/relationships/hyperlink" Target="https://artsnc.org/arts-emergency-resources/#resources" TargetMode="External"/><Relationship Id="rId6" Type="http://schemas.openxmlformats.org/officeDocument/2006/relationships/customXml" Target="../customXML/item1.xml"/><Relationship Id="rId18" Type="http://schemas.openxmlformats.org/officeDocument/2006/relationships/hyperlink" Target="https://artsnc.org/arts-emergency-resources/#resources" TargetMode="External"/><Relationship Id="rId7" Type="http://schemas.openxmlformats.org/officeDocument/2006/relationships/image" Target="media/image1.png"/><Relationship Id="rId8" Type="http://schemas.openxmlformats.org/officeDocument/2006/relationships/hyperlink" Target="https://edpnc.com/resources/publications/disaster-recover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2TWpP2QIO1tIuXkf5apYI2pKA==">CgMxLjA4AHIhMUp4aEV1NnVGYWd5YnMweDQ4THZSTG1Tb0FseGZUYVZ3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2024-10-18T20:06:00Z</dcterms:created>
  <dc:creator>Morgan Stewart</dc:creator>
</cp:coreProperties>
</file>